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642"/>
        <w:gridCol w:w="734"/>
        <w:gridCol w:w="4178"/>
        <w:gridCol w:w="2626"/>
      </w:tblGrid>
      <w:tr w:rsidR="006824DA" w:rsidRPr="00332FC6" w14:paraId="6964B04F" w14:textId="77777777" w:rsidTr="001207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gridSpan w:val="2"/>
            <w:shd w:val="clear" w:color="auto" w:fill="FABF8F" w:themeFill="accent6" w:themeFillTint="99"/>
          </w:tcPr>
          <w:p w14:paraId="6B95535F" w14:textId="77777777" w:rsidR="006824DA" w:rsidRPr="006824DA" w:rsidRDefault="006824DA" w:rsidP="006824DA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r w:rsidRPr="006824DA">
              <w:rPr>
                <w:rFonts w:asciiTheme="majorHAnsi" w:hAnsiTheme="majorHAnsi"/>
                <w:color w:val="403152" w:themeColor="accent4" w:themeShade="80"/>
              </w:rPr>
              <w:t>Trabajo Fin de Grado</w:t>
            </w:r>
          </w:p>
        </w:tc>
        <w:tc>
          <w:tcPr>
            <w:tcW w:w="4178" w:type="dxa"/>
            <w:shd w:val="clear" w:color="auto" w:fill="FABF8F" w:themeFill="accent6" w:themeFillTint="99"/>
          </w:tcPr>
          <w:p w14:paraId="5AAC4B36" w14:textId="77777777" w:rsidR="006824DA" w:rsidRPr="006824DA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626" w:type="dxa"/>
            <w:shd w:val="clear" w:color="auto" w:fill="FABF8F" w:themeFill="accent6" w:themeFillTint="99"/>
          </w:tcPr>
          <w:p w14:paraId="1ECE3F72" w14:textId="77777777" w:rsidR="006824DA" w:rsidRPr="00332FC6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6824DA" w:rsidRPr="00332FC6" w14:paraId="023F029D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56CCB3DE" w14:textId="54100B2D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</w:t>
            </w:r>
            <w:r w:rsidR="006D677B">
              <w:rPr>
                <w:rFonts w:asciiTheme="majorHAnsi" w:hAnsiTheme="majorHAnsi"/>
                <w:color w:val="403152" w:themeColor="accent4" w:themeShade="80"/>
              </w:rPr>
              <w:t>es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14:paraId="5CF040C8" w14:textId="77777777" w:rsidR="006D677B" w:rsidRPr="00332FC6" w:rsidRDefault="006D677B" w:rsidP="006D67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Carlos Gómez Peña</w:t>
            </w:r>
          </w:p>
          <w:p w14:paraId="2C673D40" w14:textId="286CEAC3" w:rsidR="006D677B" w:rsidRDefault="00513F00" w:rsidP="006D67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Víctor Gutiérrez de Pablo</w:t>
            </w:r>
          </w:p>
          <w:p w14:paraId="2AF13305" w14:textId="77777777" w:rsidR="006824DA" w:rsidRPr="00332FC6" w:rsidRDefault="006824DA" w:rsidP="006D67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2682AD30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4653F290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Departamento:</w:t>
            </w:r>
          </w:p>
        </w:tc>
        <w:tc>
          <w:tcPr>
            <w:tcW w:w="7538" w:type="dxa"/>
            <w:gridSpan w:val="3"/>
          </w:tcPr>
          <w:p w14:paraId="1D8D5AA1" w14:textId="70DE3FAE" w:rsidR="006824DA" w:rsidRDefault="006D677B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Teoría de la Señal y Comunicaciones e Ingeniería Telemática</w:t>
            </w:r>
          </w:p>
          <w:p w14:paraId="52DA9493" w14:textId="77777777" w:rsidR="006824DA" w:rsidRPr="00332FC6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6C6A9560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7E3ABF7C" w14:textId="77777777" w:rsidR="006824DA" w:rsidRPr="00332FC6" w:rsidRDefault="006824DA" w:rsidP="006824DA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14:paraId="1F861B62" w14:textId="5A38F906" w:rsidR="006824DA" w:rsidRPr="00332FC6" w:rsidRDefault="006D677B" w:rsidP="006D677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Desarrollo de un sistema de ayuda al diagnóstico de la demencia basado en técnicas </w:t>
            </w:r>
            <w:r w:rsidR="006A45DA">
              <w:rPr>
                <w:rFonts w:asciiTheme="majorHAnsi" w:hAnsiTheme="majorHAnsi"/>
                <w:b/>
                <w:color w:val="403152" w:themeColor="accent4" w:themeShade="80"/>
              </w:rPr>
              <w:t xml:space="preserve">de </w:t>
            </w:r>
            <w:r>
              <w:rPr>
                <w:rFonts w:asciiTheme="majorHAnsi" w:hAnsiTheme="majorHAnsi"/>
                <w:b/>
                <w:i/>
                <w:iCs/>
                <w:color w:val="403152" w:themeColor="accent4" w:themeShade="80"/>
              </w:rPr>
              <w:t xml:space="preserve">Deep </w:t>
            </w:r>
            <w:proofErr w:type="spellStart"/>
            <w:r>
              <w:rPr>
                <w:rFonts w:asciiTheme="majorHAnsi" w:hAnsiTheme="majorHAnsi"/>
                <w:b/>
                <w:i/>
                <w:iCs/>
                <w:color w:val="403152" w:themeColor="accent4" w:themeShade="80"/>
              </w:rPr>
              <w:t>Learning</w:t>
            </w:r>
            <w:proofErr w:type="spellEnd"/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 </w:t>
            </w:r>
          </w:p>
          <w:p w14:paraId="76D5354C" w14:textId="77777777" w:rsidR="006824DA" w:rsidRPr="00332FC6" w:rsidRDefault="006824DA" w:rsidP="006D677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0F81D7AA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4FF16BF3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Resumen:</w:t>
            </w:r>
          </w:p>
        </w:tc>
        <w:tc>
          <w:tcPr>
            <w:tcW w:w="7538" w:type="dxa"/>
            <w:gridSpan w:val="3"/>
          </w:tcPr>
          <w:p w14:paraId="54505AF0" w14:textId="61ACE29B" w:rsidR="006824DA" w:rsidRDefault="006D677B" w:rsidP="006D677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A37560">
              <w:rPr>
                <w:rFonts w:cs="Calibri"/>
              </w:rPr>
              <w:t>La</w:t>
            </w:r>
            <w:r>
              <w:rPr>
                <w:rFonts w:cs="Calibri"/>
              </w:rPr>
              <w:t xml:space="preserve"> demencia es un síndrome causado por diversas patologías subyacentes, entre las cuales la</w:t>
            </w:r>
            <w:r w:rsidRPr="00A37560">
              <w:rPr>
                <w:rFonts w:cs="Calibri"/>
              </w:rPr>
              <w:t xml:space="preserve"> enfermedad de Alzheimer (EA) es </w:t>
            </w:r>
            <w:r>
              <w:rPr>
                <w:rFonts w:cs="Calibri"/>
              </w:rPr>
              <w:t>la más común. Actualmente, su</w:t>
            </w:r>
            <w:r w:rsidRPr="00A37560">
              <w:rPr>
                <w:rFonts w:cs="Calibri"/>
              </w:rPr>
              <w:t xml:space="preserve"> diagnóstico se</w:t>
            </w:r>
            <w:r>
              <w:rPr>
                <w:rFonts w:cs="Calibri"/>
              </w:rPr>
              <w:t xml:space="preserve"> </w:t>
            </w:r>
            <w:r w:rsidRPr="00A37560">
              <w:rPr>
                <w:rFonts w:cs="Calibri"/>
              </w:rPr>
              <w:t>obtiene tras el estudio del historial clínico, una evaluación cognitiva y funcional,</w:t>
            </w:r>
            <w:r>
              <w:rPr>
                <w:rFonts w:cs="Calibri"/>
              </w:rPr>
              <w:t xml:space="preserve"> </w:t>
            </w:r>
            <w:r w:rsidRPr="00A37560">
              <w:rPr>
                <w:rFonts w:cs="Calibri"/>
              </w:rPr>
              <w:t>la realización de pruebas neurofisiológicas y de neuroimagen, y estudios</w:t>
            </w:r>
            <w:r>
              <w:rPr>
                <w:rFonts w:cs="Calibri"/>
              </w:rPr>
              <w:t xml:space="preserve"> </w:t>
            </w:r>
            <w:r w:rsidRPr="00A37560">
              <w:rPr>
                <w:rFonts w:cs="Calibri"/>
              </w:rPr>
              <w:t>genéticos, entre otros. Todas estas variables permiten identificar el cuadro clínico</w:t>
            </w:r>
            <w:r>
              <w:rPr>
                <w:rFonts w:cs="Calibri"/>
              </w:rPr>
              <w:t xml:space="preserve"> </w:t>
            </w:r>
            <w:r w:rsidRPr="00A37560">
              <w:rPr>
                <w:rFonts w:cs="Calibri"/>
              </w:rPr>
              <w:t xml:space="preserve">general, si bien </w:t>
            </w:r>
            <w:r>
              <w:rPr>
                <w:rFonts w:cs="Calibri"/>
              </w:rPr>
              <w:t>su adquisición y evaluación son costosas. Con el objetivo de simplificar el diagnóstico de la demencia, en e</w:t>
            </w:r>
            <w:r w:rsidRPr="00A37560">
              <w:rPr>
                <w:rFonts w:cs="Calibri"/>
              </w:rPr>
              <w:t xml:space="preserve">ste TFG se propone </w:t>
            </w:r>
            <w:r>
              <w:rPr>
                <w:rFonts w:cs="Calibri"/>
              </w:rPr>
              <w:t xml:space="preserve">investigar, implementar y aplicar métodos de aprendizaje profundo (técnicas </w:t>
            </w:r>
            <w:proofErr w:type="spellStart"/>
            <w:r>
              <w:rPr>
                <w:rFonts w:cs="Calibri"/>
                <w:i/>
                <w:iCs/>
              </w:rPr>
              <w:t>deep</w:t>
            </w:r>
            <w:proofErr w:type="spellEnd"/>
            <w:r>
              <w:rPr>
                <w:rFonts w:cs="Calibri"/>
                <w:i/>
                <w:iCs/>
              </w:rPr>
              <w:t xml:space="preserve"> </w:t>
            </w:r>
            <w:proofErr w:type="spellStart"/>
            <w:r>
              <w:rPr>
                <w:rFonts w:cs="Calibri"/>
                <w:i/>
                <w:iCs/>
              </w:rPr>
              <w:t>learning</w:t>
            </w:r>
            <w:proofErr w:type="spellEnd"/>
            <w:r>
              <w:rPr>
                <w:rFonts w:cs="Calibri"/>
                <w:i/>
                <w:iCs/>
              </w:rPr>
              <w:t xml:space="preserve">, </w:t>
            </w:r>
            <w:r w:rsidRPr="00236FBC">
              <w:rPr>
                <w:rFonts w:cs="Calibri"/>
              </w:rPr>
              <w:t>DL</w:t>
            </w:r>
            <w:r>
              <w:rPr>
                <w:rFonts w:cs="Calibri"/>
              </w:rPr>
              <w:t>) sobre registros de actividad neuronal que permitan avanzar hacia su identificación automática</w:t>
            </w:r>
            <w:r w:rsidR="00C514D2">
              <w:rPr>
                <w:rFonts w:cs="Calibri"/>
              </w:rPr>
              <w:t>, que permitan desarrollar</w:t>
            </w:r>
            <w:r w:rsidRPr="00A37560">
              <w:rPr>
                <w:rFonts w:cs="Calibri"/>
              </w:rPr>
              <w:t xml:space="preserve"> una herramienta de ayuda al diagnóstico</w:t>
            </w:r>
            <w:r>
              <w:rPr>
                <w:rFonts w:cs="Calibri"/>
              </w:rPr>
              <w:t>.</w:t>
            </w:r>
          </w:p>
          <w:p w14:paraId="1A0A12D9" w14:textId="1D5C4F91" w:rsidR="006D677B" w:rsidRPr="00332FC6" w:rsidRDefault="006D677B" w:rsidP="006D677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7E033037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033B5D84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Titulación:</w:t>
            </w:r>
          </w:p>
        </w:tc>
        <w:tc>
          <w:tcPr>
            <w:tcW w:w="7538" w:type="dxa"/>
            <w:gridSpan w:val="3"/>
          </w:tcPr>
          <w:p w14:paraId="177F52BE" w14:textId="77777777" w:rsidR="006824DA" w:rsidRDefault="006824DA" w:rsidP="00332FC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 w:rsidRPr="0012070B">
              <w:rPr>
                <w:rFonts w:ascii="Wingdings" w:hAnsi="Wingdings" w:cs="Wingdings"/>
                <w:color w:val="403152" w:themeColor="accent4" w:themeShade="80"/>
              </w:rPr>
              <w:t>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Pr="0012070B">
              <w:rPr>
                <w:rFonts w:cs="Wingdings"/>
                <w:color w:val="403152" w:themeColor="accent4" w:themeShade="80"/>
              </w:rPr>
              <w:t>ngeniería en Tecnologías Específicas de Telecomunicación</w:t>
            </w:r>
          </w:p>
          <w:p w14:paraId="0A9608F0" w14:textId="77777777" w:rsidR="004C0194" w:rsidRDefault="004C0194" w:rsidP="004C0194">
            <w:pPr>
              <w:pStyle w:val="Prrafodelista"/>
              <w:numPr>
                <w:ilvl w:val="0"/>
                <w:numId w:val="32"/>
              </w:num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>Mención en Sistemas de Telecomunicación</w:t>
            </w:r>
          </w:p>
          <w:p w14:paraId="38E1955D" w14:textId="77777777" w:rsidR="004C0194" w:rsidRDefault="004C0194" w:rsidP="004C0194">
            <w:pPr>
              <w:pStyle w:val="Prrafodelista"/>
              <w:numPr>
                <w:ilvl w:val="0"/>
                <w:numId w:val="32"/>
              </w:num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>Mención en Sistemas Electrónicos</w:t>
            </w:r>
          </w:p>
          <w:p w14:paraId="412BD0C6" w14:textId="77777777" w:rsidR="004C0194" w:rsidRPr="004C0194" w:rsidRDefault="004C0194" w:rsidP="004C0194">
            <w:pPr>
              <w:pStyle w:val="Prrafodelista"/>
              <w:numPr>
                <w:ilvl w:val="0"/>
                <w:numId w:val="32"/>
              </w:num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>Mención en Telemática</w:t>
            </w:r>
          </w:p>
          <w:p w14:paraId="30513C9E" w14:textId="77777777" w:rsidR="006824DA" w:rsidRDefault="006824DA" w:rsidP="00332F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 w:rsidRPr="0012070B">
              <w:rPr>
                <w:rFonts w:ascii="Wingdings" w:hAnsi="Wingdings" w:cs="Wingdings"/>
                <w:color w:val="403152" w:themeColor="accent4" w:themeShade="80"/>
              </w:rPr>
              <w:t>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Pr="0012070B">
              <w:rPr>
                <w:rFonts w:cs="Wingdings"/>
                <w:color w:val="403152" w:themeColor="accent4" w:themeShade="80"/>
              </w:rPr>
              <w:t>ngeniería en Tecnologías de Telecomunicación</w:t>
            </w:r>
          </w:p>
          <w:p w14:paraId="48F51A6A" w14:textId="03DF45B6" w:rsidR="006D677B" w:rsidRPr="00332FC6" w:rsidRDefault="006D677B" w:rsidP="006D677B">
            <w:pPr>
              <w:ind w:left="479" w:hanging="47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cs="Wingdings"/>
                <w:color w:val="403152" w:themeColor="accent4" w:themeShade="80"/>
              </w:rPr>
              <w:t>[X]   Programa de Estudios Conjunto de Grado en Ingeniería de Tecnologías de Telecomunicación y Grado en Administración y Dirección de Empresas</w:t>
            </w:r>
          </w:p>
        </w:tc>
      </w:tr>
      <w:tr w:rsidR="00025C73" w:rsidRPr="00332FC6" w14:paraId="2C2E667A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5B5DBAC5" w14:textId="77777777" w:rsidR="00025C73" w:rsidRPr="00332FC6" w:rsidRDefault="00025C73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7538" w:type="dxa"/>
            <w:gridSpan w:val="3"/>
          </w:tcPr>
          <w:p w14:paraId="35D2FD18" w14:textId="77777777" w:rsid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ingdings" w:hAnsi="Wingdings" w:cs="Wingdings"/>
                <w:color w:val="403152" w:themeColor="accent4" w:themeShade="80"/>
              </w:rPr>
            </w:pPr>
          </w:p>
          <w:p w14:paraId="7A446046" w14:textId="77777777" w:rsidR="00025C73" w:rsidRP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 w:rsidRPr="0012070B">
              <w:rPr>
                <w:rFonts w:ascii="Wingdings" w:hAnsi="Wingdings" w:cs="Wingdings"/>
                <w:color w:val="403152" w:themeColor="accent4" w:themeShade="80"/>
              </w:rPr>
              <w:t>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>
              <w:rPr>
                <w:rFonts w:cs="Wingdings"/>
                <w:color w:val="403152" w:themeColor="accent4" w:themeShade="80"/>
              </w:rPr>
              <w:t>Asociado a Pr</w:t>
            </w:r>
            <w:r>
              <w:rPr>
                <w:rFonts w:cs="MS Shell Dlg"/>
                <w:color w:val="403152" w:themeColor="accent4" w:themeShade="80"/>
              </w:rPr>
              <w:t>á</w:t>
            </w:r>
            <w:r>
              <w:rPr>
                <w:rFonts w:cs="Wingdings"/>
                <w:color w:val="403152" w:themeColor="accent4" w:themeShade="80"/>
              </w:rPr>
              <w:t>cticas en Empresa</w:t>
            </w:r>
          </w:p>
        </w:tc>
      </w:tr>
    </w:tbl>
    <w:p w14:paraId="0B1E1257" w14:textId="77777777" w:rsidR="00332FC6" w:rsidRDefault="00332FC6" w:rsidP="009F52DF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384"/>
        <w:gridCol w:w="4394"/>
        <w:gridCol w:w="3402"/>
      </w:tblGrid>
      <w:tr w:rsidR="009F52DF" w:rsidRPr="00332FC6" w14:paraId="208A83B4" w14:textId="77777777" w:rsidTr="00682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14:paraId="1BB25A0A" w14:textId="77777777" w:rsidR="009F52DF" w:rsidRPr="00332FC6" w:rsidRDefault="009F52DF" w:rsidP="009F52DF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i/>
                <w:color w:val="403152" w:themeColor="accent4" w:themeShade="80"/>
              </w:rPr>
              <w:t>Propuesta de comisión evaluadora</w:t>
            </w:r>
          </w:p>
        </w:tc>
        <w:tc>
          <w:tcPr>
            <w:tcW w:w="3402" w:type="dxa"/>
            <w:shd w:val="clear" w:color="auto" w:fill="F79646" w:themeFill="accent6"/>
          </w:tcPr>
          <w:p w14:paraId="24350195" w14:textId="77777777" w:rsidR="009F52DF" w:rsidRPr="00332FC6" w:rsidRDefault="009F52DF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9F52DF" w:rsidRPr="00332FC6" w14:paraId="0767F061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7CEB4A4F" w14:textId="77777777" w:rsidR="009F52DF" w:rsidRPr="00332FC6" w:rsidRDefault="00332FC6" w:rsidP="00332FC6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7796" w:type="dxa"/>
            <w:gridSpan w:val="2"/>
          </w:tcPr>
          <w:p w14:paraId="267A9C34" w14:textId="5C066D8D" w:rsidR="006D677B" w:rsidRDefault="006D677B" w:rsidP="006D67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Jesús Poza Crespo</w:t>
            </w:r>
          </w:p>
          <w:p w14:paraId="1FF14EC7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67725800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397D62AD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7796" w:type="dxa"/>
            <w:gridSpan w:val="2"/>
          </w:tcPr>
          <w:p w14:paraId="1A3F4B7C" w14:textId="2928D02F" w:rsidR="009F52DF" w:rsidRPr="00332FC6" w:rsidRDefault="006D677B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Carlos Gómez Peña</w:t>
            </w:r>
          </w:p>
          <w:p w14:paraId="093F9636" w14:textId="77777777" w:rsidR="002C07E3" w:rsidRPr="00332FC6" w:rsidRDefault="002C07E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26120DB9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28A6F5A8" w14:textId="77777777" w:rsidR="009F52DF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7796" w:type="dxa"/>
            <w:gridSpan w:val="2"/>
          </w:tcPr>
          <w:p w14:paraId="282AF8F6" w14:textId="4F187051" w:rsidR="009F52DF" w:rsidRPr="00332FC6" w:rsidRDefault="006D677B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Javier Gómez Pilar</w:t>
            </w:r>
          </w:p>
          <w:p w14:paraId="139DC16C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14:paraId="2C259E4A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1DA5429C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1</w:t>
            </w:r>
          </w:p>
        </w:tc>
        <w:tc>
          <w:tcPr>
            <w:tcW w:w="7796" w:type="dxa"/>
            <w:gridSpan w:val="2"/>
          </w:tcPr>
          <w:p w14:paraId="67F90A53" w14:textId="48158AC2" w:rsidR="00113BDA" w:rsidRPr="00332FC6" w:rsidRDefault="006D677B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Gonzalo César Gutiérrez Tobal</w:t>
            </w:r>
          </w:p>
          <w:p w14:paraId="580E0012" w14:textId="77777777" w:rsidR="002C07E3" w:rsidRPr="00332FC6" w:rsidRDefault="002C07E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14:paraId="4B400214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3A363800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2</w:t>
            </w:r>
          </w:p>
        </w:tc>
        <w:tc>
          <w:tcPr>
            <w:tcW w:w="7796" w:type="dxa"/>
            <w:gridSpan w:val="2"/>
          </w:tcPr>
          <w:p w14:paraId="4D0F3DE7" w14:textId="375796EB" w:rsidR="00113BDA" w:rsidRPr="00332FC6" w:rsidRDefault="006D677B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María García </w:t>
            </w:r>
            <w:proofErr w:type="spellStart"/>
            <w:r>
              <w:rPr>
                <w:rFonts w:asciiTheme="majorHAnsi" w:hAnsiTheme="majorHAnsi"/>
                <w:b/>
                <w:color w:val="403152" w:themeColor="accent4" w:themeShade="80"/>
              </w:rPr>
              <w:t>Gadañón</w:t>
            </w:r>
            <w:proofErr w:type="spellEnd"/>
          </w:p>
          <w:p w14:paraId="5CC6A1F4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</w:tbl>
    <w:p w14:paraId="719C9D71" w14:textId="77777777" w:rsidR="006E71B6" w:rsidRDefault="00332FC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El Tutor sí puede formar parte de la Comisión Evaluadora.</w:t>
      </w:r>
    </w:p>
    <w:p w14:paraId="2050F2A3" w14:textId="77777777" w:rsidR="006E71B6" w:rsidRDefault="006E71B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5C7910FC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2B8D6F1C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sectPr w:rsidR="003D3D4D" w:rsidSect="0072523D">
      <w:headerReference w:type="default" r:id="rId8"/>
      <w:footerReference w:type="default" r:id="rId9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B56A49" w14:textId="77777777" w:rsidR="0026427B" w:rsidRDefault="0026427B" w:rsidP="00C76F65">
      <w:pPr>
        <w:spacing w:after="0" w:line="240" w:lineRule="auto"/>
      </w:pPr>
      <w:r>
        <w:separator/>
      </w:r>
    </w:p>
  </w:endnote>
  <w:endnote w:type="continuationSeparator" w:id="0">
    <w:p w14:paraId="286B0544" w14:textId="77777777" w:rsidR="0026427B" w:rsidRDefault="0026427B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98B19" w14:textId="77777777" w:rsidR="003D3D4D" w:rsidRDefault="003D3D4D" w:rsidP="003D3D4D">
    <w:pPr>
      <w:pStyle w:val="Piedepgina"/>
      <w:tabs>
        <w:tab w:val="clear" w:pos="4252"/>
        <w:tab w:val="center" w:pos="4253"/>
      </w:tabs>
      <w:rPr>
        <w:rFonts w:asciiTheme="majorHAnsi" w:hAnsiTheme="majorHAnsi"/>
        <w:color w:val="000000" w:themeColor="text1"/>
      </w:rPr>
    </w:pPr>
    <w:r>
      <w:rPr>
        <w:rFonts w:asciiTheme="majorHAnsi" w:hAnsiTheme="majorHAnsi"/>
        <w:color w:val="000000" w:themeColor="text1"/>
      </w:rPr>
      <w:t>S</w:t>
    </w:r>
    <w:r w:rsidRPr="00E6387A">
      <w:rPr>
        <w:rFonts w:asciiTheme="majorHAnsi" w:hAnsiTheme="majorHAnsi"/>
        <w:color w:val="000000" w:themeColor="text1"/>
      </w:rPr>
      <w:t>R. DIRECTOR DE LA ESCUELA TÉCNICA SUPERIOR DE INGENIEROS DE TELECOMUNICACIÓN</w:t>
    </w:r>
  </w:p>
  <w:p w14:paraId="2DEA21E3" w14:textId="77777777" w:rsidR="003D3D4D" w:rsidRPr="00E6387A" w:rsidRDefault="003D3D4D" w:rsidP="003D3D4D">
    <w:pPr>
      <w:pStyle w:val="Piedepgina"/>
      <w:tabs>
        <w:tab w:val="clear" w:pos="4252"/>
        <w:tab w:val="center" w:pos="4253"/>
      </w:tabs>
      <w:ind w:left="-426" w:firstLine="426"/>
      <w:jc w:val="center"/>
      <w:rPr>
        <w:rFonts w:asciiTheme="majorHAnsi" w:hAnsiTheme="majorHAnsi"/>
        <w:color w:val="000000" w:themeColor="text1"/>
      </w:rPr>
    </w:pPr>
  </w:p>
  <w:p w14:paraId="0A22D936" w14:textId="77777777" w:rsidR="003D3D4D" w:rsidRPr="003D3D4D" w:rsidRDefault="00332FC6" w:rsidP="003D3D4D">
    <w:pPr>
      <w:spacing w:after="0" w:line="240" w:lineRule="auto"/>
      <w:jc w:val="both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Debe </w:t>
    </w:r>
    <w:r w:rsidR="003D3D4D" w:rsidRPr="003D3D4D">
      <w:rPr>
        <w:rFonts w:asciiTheme="majorHAnsi" w:hAnsiTheme="majorHAnsi"/>
        <w:sz w:val="16"/>
        <w:szCs w:val="16"/>
      </w:rPr>
      <w:t>presentarse en la sec</w:t>
    </w:r>
    <w:r w:rsidR="00A1598A">
      <w:rPr>
        <w:rFonts w:asciiTheme="majorHAnsi" w:hAnsiTheme="majorHAnsi"/>
        <w:sz w:val="16"/>
        <w:szCs w:val="16"/>
      </w:rPr>
      <w:t xml:space="preserve">retaría de dirección del Centro antes de </w:t>
    </w:r>
    <w:r>
      <w:rPr>
        <w:rFonts w:asciiTheme="majorHAnsi" w:hAnsiTheme="majorHAnsi"/>
        <w:sz w:val="16"/>
        <w:szCs w:val="16"/>
      </w:rPr>
      <w:t>20 días de la finalización del periodo de matrícula</w:t>
    </w:r>
    <w:r w:rsidR="00A1598A">
      <w:rPr>
        <w:rFonts w:asciiTheme="majorHAnsi" w:hAnsiTheme="majorHAnsi"/>
        <w:sz w:val="16"/>
        <w:szCs w:val="16"/>
      </w:rPr>
      <w:t>.</w:t>
    </w:r>
  </w:p>
  <w:p w14:paraId="75F394A0" w14:textId="77777777" w:rsidR="003D3D4D" w:rsidRDefault="003D3D4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D5BF51" w14:textId="77777777" w:rsidR="0026427B" w:rsidRDefault="0026427B" w:rsidP="00C76F65">
      <w:pPr>
        <w:spacing w:after="0" w:line="240" w:lineRule="auto"/>
      </w:pPr>
      <w:r>
        <w:separator/>
      </w:r>
    </w:p>
  </w:footnote>
  <w:footnote w:type="continuationSeparator" w:id="0">
    <w:p w14:paraId="2B81D355" w14:textId="77777777" w:rsidR="0026427B" w:rsidRDefault="0026427B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F2096" w14:textId="77777777" w:rsidR="003D3D4D" w:rsidRPr="006E71B6" w:rsidRDefault="00000000" w:rsidP="00332FC6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Content>
        <w:r w:rsidR="0026427B">
          <w:rPr>
            <w:rFonts w:asciiTheme="majorHAnsi" w:eastAsiaTheme="majorEastAsia" w:hAnsiTheme="majorHAnsi" w:cstheme="majorBidi"/>
            <w:noProof/>
            <w:sz w:val="28"/>
            <w:szCs w:val="28"/>
            <w:lang w:eastAsia="zh-TW"/>
          </w:rPr>
          <w:pict w14:anchorId="14310CEB">
            <v:oval id="_x0000_s1025" alt="" style="position:absolute;left:0;text-align:left;margin-left:0;margin-top:0;width:37.6pt;height:37.6pt;z-index:251660288;mso-wrap-style:square;mso-wrap-edited:f;mso-width-percent:0;mso-height-percent:0;mso-top-percent:250;mso-position-horizontal:center;mso-position-horizontal-relative:right-margin-area;mso-position-vertical-relative:page;mso-width-percent:0;mso-height-percent:0;mso-top-percent:250;v-text-anchor:top" o:allowincell="f" fillcolor="#9bbb59 [3206]" stroked="f">
              <v:textbox style="mso-next-textbox:#_x0000_s1025" inset="0,,0">
                <w:txbxContent>
                  <w:p w14:paraId="1FF71EBE" w14:textId="77777777" w:rsidR="002A4946" w:rsidRDefault="00025C73">
                    <w:pPr>
                      <w:rPr>
                        <w:rStyle w:val="Nmerodepgina"/>
                        <w:color w:val="FFFFFF" w:themeColor="background1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 w:rsidRPr="00025C73">
                      <w:rPr>
                        <w:rStyle w:val="Nmerodepgina"/>
                        <w:b/>
                        <w:noProof/>
                        <w:color w:val="FFFFFF" w:themeColor="background1"/>
                        <w:sz w:val="24"/>
                        <w:szCs w:val="24"/>
                      </w:rPr>
                      <w:t>1</w:t>
                    </w:r>
                    <w:r>
                      <w:rPr>
                        <w:rStyle w:val="Nmerodepgina"/>
                        <w:b/>
                        <w:noProof/>
                        <w:color w:val="FFFFFF" w:themeColor="background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oval>
          </w:pict>
        </w:r>
      </w:sdtContent>
    </w:sdt>
    <w:r w:rsidR="003D3D4D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3D3D4D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332FC6">
      <w:rPr>
        <w:rFonts w:asciiTheme="majorHAnsi" w:hAnsiTheme="majorHAnsi"/>
        <w:b/>
        <w:color w:val="1F497D" w:themeColor="text2"/>
        <w:sz w:val="36"/>
        <w:szCs w:val="36"/>
      </w:rPr>
      <w:t>Trabajo Fin de Grado</w:t>
    </w:r>
  </w:p>
  <w:p w14:paraId="4BF1D9F5" w14:textId="77777777" w:rsidR="002A4946" w:rsidRDefault="002A494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" w15:restartNumberingAfterBreak="0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E97574"/>
    <w:multiLevelType w:val="hybridMultilevel"/>
    <w:tmpl w:val="5D1C67A2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2884650">
    <w:abstractNumId w:val="16"/>
  </w:num>
  <w:num w:numId="2" w16cid:durableId="1053887903">
    <w:abstractNumId w:val="20"/>
  </w:num>
  <w:num w:numId="3" w16cid:durableId="188494876">
    <w:abstractNumId w:val="21"/>
  </w:num>
  <w:num w:numId="4" w16cid:durableId="1859346968">
    <w:abstractNumId w:val="13"/>
  </w:num>
  <w:num w:numId="5" w16cid:durableId="1610770097">
    <w:abstractNumId w:val="26"/>
  </w:num>
  <w:num w:numId="6" w16cid:durableId="575170647">
    <w:abstractNumId w:val="23"/>
  </w:num>
  <w:num w:numId="7" w16cid:durableId="1666199722">
    <w:abstractNumId w:val="9"/>
  </w:num>
  <w:num w:numId="8" w16cid:durableId="1833064674">
    <w:abstractNumId w:val="4"/>
  </w:num>
  <w:num w:numId="9" w16cid:durableId="1275359598">
    <w:abstractNumId w:val="1"/>
  </w:num>
  <w:num w:numId="10" w16cid:durableId="234977219">
    <w:abstractNumId w:val="29"/>
  </w:num>
  <w:num w:numId="11" w16cid:durableId="1232692444">
    <w:abstractNumId w:val="22"/>
  </w:num>
  <w:num w:numId="12" w16cid:durableId="1892108242">
    <w:abstractNumId w:val="30"/>
  </w:num>
  <w:num w:numId="13" w16cid:durableId="1057974598">
    <w:abstractNumId w:val="0"/>
  </w:num>
  <w:num w:numId="14" w16cid:durableId="2054496236">
    <w:abstractNumId w:val="31"/>
  </w:num>
  <w:num w:numId="15" w16cid:durableId="459692252">
    <w:abstractNumId w:val="32"/>
  </w:num>
  <w:num w:numId="16" w16cid:durableId="1567297667">
    <w:abstractNumId w:val="11"/>
  </w:num>
  <w:num w:numId="17" w16cid:durableId="383413635">
    <w:abstractNumId w:val="25"/>
  </w:num>
  <w:num w:numId="18" w16cid:durableId="1353846402">
    <w:abstractNumId w:val="14"/>
  </w:num>
  <w:num w:numId="19" w16cid:durableId="761532143">
    <w:abstractNumId w:val="6"/>
  </w:num>
  <w:num w:numId="20" w16cid:durableId="1006710500">
    <w:abstractNumId w:val="17"/>
  </w:num>
  <w:num w:numId="21" w16cid:durableId="1230920120">
    <w:abstractNumId w:val="12"/>
  </w:num>
  <w:num w:numId="22" w16cid:durableId="868107809">
    <w:abstractNumId w:val="7"/>
  </w:num>
  <w:num w:numId="23" w16cid:durableId="928149984">
    <w:abstractNumId w:val="27"/>
  </w:num>
  <w:num w:numId="24" w16cid:durableId="1298492440">
    <w:abstractNumId w:val="8"/>
  </w:num>
  <w:num w:numId="25" w16cid:durableId="879629081">
    <w:abstractNumId w:val="15"/>
  </w:num>
  <w:num w:numId="26" w16cid:durableId="1246837106">
    <w:abstractNumId w:val="2"/>
  </w:num>
  <w:num w:numId="27" w16cid:durableId="1404911404">
    <w:abstractNumId w:val="3"/>
  </w:num>
  <w:num w:numId="28" w16cid:durableId="1922105875">
    <w:abstractNumId w:val="28"/>
  </w:num>
  <w:num w:numId="29" w16cid:durableId="1621567860">
    <w:abstractNumId w:val="19"/>
  </w:num>
  <w:num w:numId="30" w16cid:durableId="1475098873">
    <w:abstractNumId w:val="10"/>
  </w:num>
  <w:num w:numId="31" w16cid:durableId="804740990">
    <w:abstractNumId w:val="18"/>
  </w:num>
  <w:num w:numId="32" w16cid:durableId="1324506205">
    <w:abstractNumId w:val="24"/>
  </w:num>
  <w:num w:numId="33" w16cid:durableId="209165507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6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4605"/>
    <w:rsid w:val="00025C73"/>
    <w:rsid w:val="0006647B"/>
    <w:rsid w:val="000A3667"/>
    <w:rsid w:val="001131A5"/>
    <w:rsid w:val="00113BDA"/>
    <w:rsid w:val="001151B1"/>
    <w:rsid w:val="0012070B"/>
    <w:rsid w:val="00134502"/>
    <w:rsid w:val="00184618"/>
    <w:rsid w:val="0018522B"/>
    <w:rsid w:val="001B3943"/>
    <w:rsid w:val="001C32AE"/>
    <w:rsid w:val="001D0CE9"/>
    <w:rsid w:val="001E1B28"/>
    <w:rsid w:val="0020383D"/>
    <w:rsid w:val="00205BF9"/>
    <w:rsid w:val="0026427B"/>
    <w:rsid w:val="002A4946"/>
    <w:rsid w:val="002B20A1"/>
    <w:rsid w:val="002B38DC"/>
    <w:rsid w:val="002B4E23"/>
    <w:rsid w:val="002C07E3"/>
    <w:rsid w:val="002C1E6E"/>
    <w:rsid w:val="002D0FBA"/>
    <w:rsid w:val="002F4BD6"/>
    <w:rsid w:val="002F6187"/>
    <w:rsid w:val="00332AD5"/>
    <w:rsid w:val="00332FC6"/>
    <w:rsid w:val="00354F49"/>
    <w:rsid w:val="00374F87"/>
    <w:rsid w:val="0038032D"/>
    <w:rsid w:val="003B4089"/>
    <w:rsid w:val="003C6590"/>
    <w:rsid w:val="003D3D4D"/>
    <w:rsid w:val="003D5371"/>
    <w:rsid w:val="003F008A"/>
    <w:rsid w:val="004070D4"/>
    <w:rsid w:val="004356CC"/>
    <w:rsid w:val="004B60C2"/>
    <w:rsid w:val="004C0194"/>
    <w:rsid w:val="004E0BD2"/>
    <w:rsid w:val="004F18F2"/>
    <w:rsid w:val="004F60F7"/>
    <w:rsid w:val="00505A62"/>
    <w:rsid w:val="00513B05"/>
    <w:rsid w:val="00513F00"/>
    <w:rsid w:val="0058555A"/>
    <w:rsid w:val="005C21A0"/>
    <w:rsid w:val="0063039B"/>
    <w:rsid w:val="00676F1B"/>
    <w:rsid w:val="006812BD"/>
    <w:rsid w:val="006824DA"/>
    <w:rsid w:val="006A45DA"/>
    <w:rsid w:val="006D2573"/>
    <w:rsid w:val="006D677B"/>
    <w:rsid w:val="006E492D"/>
    <w:rsid w:val="006E71B6"/>
    <w:rsid w:val="0072043E"/>
    <w:rsid w:val="00722E05"/>
    <w:rsid w:val="0072523D"/>
    <w:rsid w:val="007433DB"/>
    <w:rsid w:val="007501E0"/>
    <w:rsid w:val="00756AC6"/>
    <w:rsid w:val="007934B3"/>
    <w:rsid w:val="007C334B"/>
    <w:rsid w:val="007E2BEA"/>
    <w:rsid w:val="0084608E"/>
    <w:rsid w:val="008557BA"/>
    <w:rsid w:val="0086646E"/>
    <w:rsid w:val="00882F4C"/>
    <w:rsid w:val="00957C23"/>
    <w:rsid w:val="0097182B"/>
    <w:rsid w:val="00986A1F"/>
    <w:rsid w:val="00986D11"/>
    <w:rsid w:val="009B6540"/>
    <w:rsid w:val="009F52DF"/>
    <w:rsid w:val="00A1598A"/>
    <w:rsid w:val="00A259DF"/>
    <w:rsid w:val="00AC7122"/>
    <w:rsid w:val="00AF6873"/>
    <w:rsid w:val="00B0713D"/>
    <w:rsid w:val="00B14605"/>
    <w:rsid w:val="00B53988"/>
    <w:rsid w:val="00B9593F"/>
    <w:rsid w:val="00BA0405"/>
    <w:rsid w:val="00C35B8A"/>
    <w:rsid w:val="00C452B9"/>
    <w:rsid w:val="00C514D2"/>
    <w:rsid w:val="00C76F65"/>
    <w:rsid w:val="00CF3B46"/>
    <w:rsid w:val="00D07C6B"/>
    <w:rsid w:val="00D103C1"/>
    <w:rsid w:val="00D16C08"/>
    <w:rsid w:val="00D53601"/>
    <w:rsid w:val="00D65B55"/>
    <w:rsid w:val="00D74ACC"/>
    <w:rsid w:val="00DA40DA"/>
    <w:rsid w:val="00DB094E"/>
    <w:rsid w:val="00DC3073"/>
    <w:rsid w:val="00E20FEE"/>
    <w:rsid w:val="00E46568"/>
    <w:rsid w:val="00E50F93"/>
    <w:rsid w:val="00E6387A"/>
    <w:rsid w:val="00E64390"/>
    <w:rsid w:val="00EB004A"/>
    <w:rsid w:val="00ED03FB"/>
    <w:rsid w:val="00EF63C0"/>
    <w:rsid w:val="00EF6722"/>
    <w:rsid w:val="00F2211E"/>
    <w:rsid w:val="00F2334E"/>
    <w:rsid w:val="00FC00C3"/>
    <w:rsid w:val="00FD40A9"/>
    <w:rsid w:val="00FE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DC3895"/>
  <w15:docId w15:val="{89F8784E-8C67-BF40-955B-8090900DF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B46"/>
  </w:style>
  <w:style w:type="paragraph" w:styleId="Ttulo1">
    <w:name w:val="heading 1"/>
    <w:basedOn w:val="Normal"/>
    <w:next w:val="Normal"/>
    <w:link w:val="Ttulo1C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Fuentedeprrafopredeter"/>
    <w:rsid w:val="00D07C6B"/>
  </w:style>
  <w:style w:type="table" w:customStyle="1" w:styleId="Sombreadoclaro-nfasis11">
    <w:name w:val="Sombreado claro - Énfasis 11"/>
    <w:basedOn w:val="Tabla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76F1B"/>
  </w:style>
  <w:style w:type="paragraph" w:styleId="Encabezado">
    <w:name w:val="header"/>
    <w:basedOn w:val="Normal"/>
    <w:link w:val="EncabezadoCar"/>
    <w:uiPriority w:val="99"/>
    <w:semiHidden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76F65"/>
  </w:style>
  <w:style w:type="character" w:styleId="Nmerodepgina">
    <w:name w:val="page number"/>
    <w:basedOn w:val="Fuentedeprrafopredeter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TDC">
    <w:name w:val="TOC Heading"/>
    <w:basedOn w:val="Ttulo1"/>
    <w:next w:val="Normal"/>
    <w:uiPriority w:val="39"/>
    <w:unhideWhenUsed/>
    <w:qFormat/>
    <w:rsid w:val="007501E0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-nfasis1">
    <w:name w:val="Light Shading Accent 1"/>
    <w:basedOn w:val="Tabla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146D5C-2BFB-47EC-BB27-FC845DA58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271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Trabajo Gin de Máster: Guía de la lumno.</vt:lpstr>
    </vt:vector>
  </TitlesOfParts>
  <Company>pp</Company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subject/>
  <dc:creator>Jesús M. Hernández</dc:creator>
  <cp:keywords/>
  <dc:description>Trabajo Fin de Máster: Guía de alumno.</dc:description>
  <cp:lastModifiedBy>CARLOS GOMEZ PEÑA</cp:lastModifiedBy>
  <cp:revision>14</cp:revision>
  <cp:lastPrinted>2010-05-24T15:16:00Z</cp:lastPrinted>
  <dcterms:created xsi:type="dcterms:W3CDTF">2012-06-08T08:35:00Z</dcterms:created>
  <dcterms:modified xsi:type="dcterms:W3CDTF">2024-10-09T13:23:00Z</dcterms:modified>
</cp:coreProperties>
</file>